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257</w:t>
      </w:r>
    </w:p>
    <w:p>
      <w:r>
        <w:t>Bundesgericht (BGE), 1975-12-29, DE</w:t>
      </w:r>
    </w:p>
    <w:p>
      <w:r>
        <w:rPr>
          <w:b/>
        </w:rPr>
        <w:t xml:space="preserve">Quelle: </w:t>
      </w:r>
      <w:r>
        <w:t>https://mcp.opencaselaw.ch/entscheid/bge_101 V 257</w:t>
      </w:r>
    </w:p>
    <w:p>
      <w:r>
        <w:t>FR: ATF 101 V 257</w:t>
      </w:r>
    </w:p>
    <w:p>
      <w:r>
        <w:t>IT: DTF 101 V 257</w:t>
      </w:r>
    </w:p>
    <w:p>
      <w:pPr>
        <w:pStyle w:val="Heading2"/>
      </w:pPr>
      <w:r>
        <w:t>Regeste</w:t>
      </w:r>
    </w:p>
    <w:p>
      <w:r>
        <w:t>Regeste Art. 23 Abs. 1 lit. a und d AHVG. Die Kommorientenregel des Art. 32 Abs. 2 ZGB ist in der AHV sinngemäss anwendbar.</w:t>
      </w:r>
    </w:p>
    <w:p>
      <w:pPr>
        <w:pStyle w:val="Heading2"/>
      </w:pPr>
      <w:r>
        <w:t>Erwägungen</w:t>
      </w:r>
    </w:p>
    <w:p>
      <w:r>
        <w:rPr>
          <w:b/>
        </w:rPr>
        <w:t>E. 1</w:t>
      </w:r>
    </w:p>
    <w:p>
      <w:r>
        <w:t>Es ist unbestritten, dass der im Jahre 1945 geborenen Beschwerdeführerin nur dann eine Witwenrente zustände, wenn das einzige aus ihrer Ehe stammende Kind noch gelebt hätte, als ihr Ehemann starb ( Art. 23 Abs. 1 lit. a und d AHVG ). Die Beschwerdeführerin erachtet die Annahme der Vorinstanz, ihr Ehemann und das Kind seien gleichzeitig verstorben, BGE 101 V 257 S. 259 als unhaltbar. Der kantonale Richter gründet seine Auffassung auf Art. 32 Abs. 2 ZGB , der bestimmt: "Kann nicht bewiesen werden, dass von mehreren gestorbenen Personen die eine die andere überlebt habe, so gelten sie als gleichzeitig verstorben." Diese Vorschrift regelt einen Tatbestand, der sich nicht nur im Bereich des Zivilrechts, sondern auch in öffentlich-rechtlichen Bereichen verwirklichen kann. Zwar ist es denkbar, dass die hier gültigen spezifischen Zweckgedanken und die gegenüber zivilrechtlichen Verhältnissen anders geartete Interessenlage eine abweichende positivrechtliche Ordnung erfordern. Solange aber keine spezielle Regelung besteht oder sich für das betreffende Rechtsgebiet der Natur der Sache nach keine andere Regel aufdrängt, ist um der Rechtseinheit und Rechtsgleichheit willen die zivilrechtliche Vorschrift sinngemäss anzuwenden. Im Bereich der AHV drängt sich keine abweichende Ordnung auf, was zur Folge hat, dass die Vorschrift des Art. 32 Abs. 2 ZGB sinngemäss auf das vorliegende streitige verwaltungsrechtliche Verhältnis anzuwenden ist. Die damit verbundene Unbilligkeit, welche die Beschwerdeführerin beanstandet, liegt im System der Witwenrente nach Art. 23 AHVG begründet, das den Rentenanspruch der noch nicht 45jährigen Witwe davon abhängig macht, dass diese im Zeitpunkt der Verwitwung ein Kind hat, ohne Rücksicht auf den finanziellen Aufwand für dessen Unterhalt. Ebenso schwerwiegende Unbilligkeiten können sich bei Anwendung der Kommorientenregel des Art. 32 Abs. 2 ZGB offensichtlich aber auch im Zivilrecht, insbesondere im Erbrecht ergeben. Die Beweisschwierigkeit bezüglich der Frage des Vorverstorbenseins von Vater oder Kind hat keine spezifisch ahv-rechtliche Bedeutung. Insbesondere ist auch sozialversicherungsrechtlich unerheblich, ob die zuständigen Amtsstellen den Zeitpunkt des Todeseintritts zuwenig genau abgeklärt haben.</w:t>
      </w:r>
    </w:p>
    <w:p>
      <w:r>
        <w:rPr>
          <w:b/>
        </w:rPr>
        <w:t>E. 2</w:t>
      </w:r>
    </w:p>
    <w:p>
      <w:r>
        <w:t>Das Bundesamt begründet seinen Abweisungsantrag mit den in BGE 100 V 208 entwickelten Grundsätzen. Dort ging es darum, ob eine noch nicht 45jährige Witwe, deren Ehemann im Dezember 1972, also einen Monat vor dem Inkrafttreten (1. Januar 1973) der für kinderlose Witwen gültigen neuen Altersgrenze von 45 Jahren, gestorben war, eine Witwenrente BGE 101 V 257 S. 260 beanspruchen könne. In Anwendung der im erwähnten Urteil angestellten Überlegungen sei, so meint das Bundesamt, einer kinderlosen Frau eine Witwenrente zuzusprechen, wenn die Witwe nach dem Tod ihres Mannes, jedoch vor dem ersten Tag des dem Tode des Ehemannes folgenden Monats ihr 45. Altersjahr zurücklege. Auf den vorliegenden Fall übertragen heisse das, dass der Versicherungsfall hinsichtlich des Rentenanspruchs der Beschwerdeführerin nicht schon mit dem Tod ihres Ehemannes und ihres Kindes am 7. Oktober 1974 eingetreten sei, sondern am 1. November 1974, zu welchem Zeitpunkt die Beschwerdeführerin unbestrittenermassen kinderlos gewesen sei. Dieser Auffassung kann nicht beigepflichtet werden. Art. 23 AHVG sagt einerseits, unter welchen Voraussetzungen der Witwenrentenanspruch entsteht (Umschreibung des anspruchsbegründenden Sachverhalts, Abs. 1 und 2), und anderseits, in welchem Zeitpunkt der Anspruch auf die konkrete Leistung entsteht (Versicherungsfall, Abs. 3). Aus den in BGE 100 V 208 erwähnten Gründen ist bei der übergangsrechtlichen Frage, ob altes oder neues Recht anzuwenden sei, auf den Zeitpunkt des Versicherungsfalles abzustellen. Somit ist dieser dafür massgebend, ob der anspruchsbegründende Sachverhalt und die ihm entsprechende Rechtsfolge nach den Vorschriften des alten oder des neuen Rechtes zu beurteilen sind. Dies hat aber mit der Auslegung der gesetzlich umschriebenen Anspruchsvoraussetzungen, die heute allein zur Diskussion stehen, nichts zu tun.</w:t>
      </w:r>
    </w:p>
    <w:p>
      <w:r>
        <w:rPr>
          <w:b/>
        </w:rPr>
        <w:t>E. 3</w:t>
      </w:r>
    </w:p>
    <w:p>
      <w:r>
        <w:t>Nach dem Gesagten ist in Anwendung der Regel des Art. 32 Abs. 2 ZGB in tatbeständlicher Hinsicht davon auszugehen, dass Vater und Sohn D. gleichzeitig verstorben sind. Im Zeitpunkt der Verwitwung hatte die Beschwerdeführerin somit kein lebendes Kind mehr, und da sie zudem damals noch nicht 45jährig war, steht ihr keine Witwenrente, sondern lediglich eine Abfindung gemäss Art. 24 AHVG zu.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